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084979" w:rsidRPr="00DD5784" w:rsidTr="00084979">
        <w:trPr>
          <w:jc w:val="center"/>
        </w:trPr>
        <w:tc>
          <w:tcPr>
            <w:tcW w:w="9104" w:type="dxa"/>
            <w:hideMark/>
          </w:tcPr>
          <w:tbl>
            <w:tblPr>
              <w:tblW w:w="8789" w:type="dxa"/>
              <w:jc w:val="center"/>
              <w:tblLook w:val="01E0"/>
            </w:tblPr>
            <w:tblGrid>
              <w:gridCol w:w="2931"/>
              <w:gridCol w:w="2931"/>
              <w:gridCol w:w="2927"/>
            </w:tblGrid>
            <w:tr w:rsidR="00084979" w:rsidRPr="00DD5784">
              <w:trPr>
                <w:trHeight w:val="317"/>
                <w:jc w:val="center"/>
              </w:trPr>
              <w:tc>
                <w:tcPr>
                  <w:tcW w:w="2931" w:type="dxa"/>
                  <w:tcBorders>
                    <w:top w:val="nil"/>
                    <w:left w:val="nil"/>
                    <w:bottom w:val="single" w:sz="4" w:space="0" w:color="660066"/>
                    <w:right w:val="nil"/>
                  </w:tcBorders>
                  <w:vAlign w:val="center"/>
                  <w:hideMark/>
                </w:tcPr>
                <w:p w:rsidR="00084979" w:rsidRPr="00DD5784" w:rsidRDefault="00084979" w:rsidP="00084979">
                  <w:pPr>
                    <w:tabs>
                      <w:tab w:val="left" w:pos="567"/>
                      <w:tab w:val="center" w:pos="994"/>
                      <w:tab w:val="center" w:pos="3543"/>
                      <w:tab w:val="right" w:pos="6520"/>
                    </w:tabs>
                    <w:spacing w:after="0" w:line="240" w:lineRule="exact"/>
                    <w:rPr>
                      <w:rFonts w:ascii="Tahoma" w:eastAsia="Times New Roman" w:hAnsi="Tahoma" w:cs="Tahoma"/>
                      <w:b/>
                      <w:sz w:val="16"/>
                      <w:szCs w:val="16"/>
                    </w:rPr>
                  </w:pPr>
                  <w:r w:rsidRPr="00DD5784">
                    <w:rPr>
                      <w:rFonts w:ascii="Tahoma" w:eastAsia="Times New Roman" w:hAnsi="Tahoma" w:cs="Tahoma"/>
                      <w:sz w:val="16"/>
                      <w:szCs w:val="16"/>
                    </w:rPr>
                    <w:t>6 Mart 2010 CUMARTESİ</w:t>
                  </w:r>
                </w:p>
              </w:tc>
              <w:tc>
                <w:tcPr>
                  <w:tcW w:w="2931" w:type="dxa"/>
                  <w:tcBorders>
                    <w:top w:val="nil"/>
                    <w:left w:val="nil"/>
                    <w:bottom w:val="single" w:sz="4" w:space="0" w:color="660066"/>
                    <w:right w:val="nil"/>
                  </w:tcBorders>
                  <w:vAlign w:val="center"/>
                  <w:hideMark/>
                </w:tcPr>
                <w:p w:rsidR="00084979" w:rsidRPr="00DD5784" w:rsidRDefault="00084979" w:rsidP="00084979">
                  <w:pPr>
                    <w:tabs>
                      <w:tab w:val="left" w:pos="567"/>
                      <w:tab w:val="center" w:pos="994"/>
                      <w:tab w:val="center" w:pos="3543"/>
                      <w:tab w:val="right" w:pos="6520"/>
                    </w:tabs>
                    <w:spacing w:after="0" w:line="240" w:lineRule="exact"/>
                    <w:jc w:val="center"/>
                    <w:rPr>
                      <w:rFonts w:ascii="Tahoma" w:eastAsia="Times New Roman" w:hAnsi="Tahoma" w:cs="Tahoma"/>
                      <w:b/>
                      <w:color w:val="800080"/>
                      <w:sz w:val="24"/>
                      <w:szCs w:val="24"/>
                    </w:rPr>
                  </w:pPr>
                  <w:r w:rsidRPr="00DD5784">
                    <w:rPr>
                      <w:rFonts w:ascii="Tahoma" w:eastAsia="Times New Roman" w:hAnsi="Tahoma" w:cs="Tahoma"/>
                      <w:b/>
                      <w:color w:val="800080"/>
                      <w:sz w:val="24"/>
                      <w:szCs w:val="24"/>
                    </w:rPr>
                    <w:t>Resmî Gazete</w:t>
                  </w:r>
                </w:p>
              </w:tc>
              <w:tc>
                <w:tcPr>
                  <w:tcW w:w="2927" w:type="dxa"/>
                  <w:tcBorders>
                    <w:top w:val="nil"/>
                    <w:left w:val="nil"/>
                    <w:bottom w:val="single" w:sz="4" w:space="0" w:color="660066"/>
                    <w:right w:val="nil"/>
                  </w:tcBorders>
                  <w:vAlign w:val="center"/>
                  <w:hideMark/>
                </w:tcPr>
                <w:p w:rsidR="00084979" w:rsidRPr="00DD5784" w:rsidRDefault="00084979" w:rsidP="00084979">
                  <w:pPr>
                    <w:spacing w:before="100" w:beforeAutospacing="1" w:after="100" w:afterAutospacing="1" w:line="240" w:lineRule="auto"/>
                    <w:jc w:val="right"/>
                    <w:rPr>
                      <w:rFonts w:ascii="Tahoma" w:eastAsia="Times New Roman" w:hAnsi="Tahoma" w:cs="Tahoma"/>
                      <w:sz w:val="16"/>
                      <w:szCs w:val="16"/>
                    </w:rPr>
                  </w:pPr>
                  <w:r w:rsidRPr="00DD5784">
                    <w:rPr>
                      <w:rFonts w:ascii="Tahoma" w:eastAsia="Times New Roman" w:hAnsi="Tahoma" w:cs="Tahoma"/>
                      <w:sz w:val="16"/>
                      <w:szCs w:val="16"/>
                    </w:rPr>
                    <w:t>Sayı : 27513</w:t>
                  </w:r>
                </w:p>
              </w:tc>
            </w:tr>
            <w:tr w:rsidR="00084979" w:rsidRPr="00DD5784">
              <w:trPr>
                <w:trHeight w:val="480"/>
                <w:jc w:val="center"/>
              </w:trPr>
              <w:tc>
                <w:tcPr>
                  <w:tcW w:w="8789" w:type="dxa"/>
                  <w:gridSpan w:val="3"/>
                  <w:vAlign w:val="center"/>
                  <w:hideMark/>
                </w:tcPr>
                <w:p w:rsidR="00084979" w:rsidRPr="00DD5784" w:rsidRDefault="00084979" w:rsidP="00084979">
                  <w:pPr>
                    <w:spacing w:before="100" w:beforeAutospacing="1" w:after="100" w:afterAutospacing="1" w:line="240" w:lineRule="auto"/>
                    <w:jc w:val="center"/>
                    <w:rPr>
                      <w:rFonts w:ascii="Tahoma" w:eastAsia="Times New Roman" w:hAnsi="Tahoma" w:cs="Tahoma"/>
                      <w:b/>
                      <w:color w:val="000080"/>
                      <w:sz w:val="18"/>
                      <w:szCs w:val="18"/>
                    </w:rPr>
                  </w:pPr>
                  <w:r w:rsidRPr="00DD5784">
                    <w:rPr>
                      <w:rFonts w:ascii="Tahoma" w:eastAsia="Times New Roman" w:hAnsi="Tahoma" w:cs="Tahoma"/>
                      <w:b/>
                      <w:color w:val="000080"/>
                      <w:sz w:val="18"/>
                      <w:szCs w:val="18"/>
                    </w:rPr>
                    <w:t>TEBLİĞ</w:t>
                  </w:r>
                </w:p>
              </w:tc>
            </w:tr>
            <w:tr w:rsidR="00084979" w:rsidRPr="00DD5784">
              <w:trPr>
                <w:trHeight w:val="480"/>
                <w:jc w:val="center"/>
              </w:trPr>
              <w:tc>
                <w:tcPr>
                  <w:tcW w:w="8789" w:type="dxa"/>
                  <w:gridSpan w:val="3"/>
                  <w:vAlign w:val="center"/>
                </w:tcPr>
                <w:p w:rsidR="00084979" w:rsidRPr="00DD5784" w:rsidRDefault="00084979" w:rsidP="00084979">
                  <w:pPr>
                    <w:spacing w:after="0" w:line="240" w:lineRule="exact"/>
                    <w:ind w:firstLine="567"/>
                    <w:rPr>
                      <w:rFonts w:ascii="Tahoma" w:eastAsia="Times New Roman" w:hAnsi="Tahoma" w:cs="Tahoma"/>
                      <w:sz w:val="18"/>
                      <w:szCs w:val="18"/>
                      <w:u w:val="single"/>
                    </w:rPr>
                  </w:pPr>
                  <w:r w:rsidRPr="00DD5784">
                    <w:rPr>
                      <w:rFonts w:ascii="Tahoma" w:eastAsia="Times New Roman" w:hAnsi="Tahoma" w:cs="Tahoma"/>
                      <w:sz w:val="18"/>
                      <w:szCs w:val="18"/>
                      <w:u w:val="single"/>
                    </w:rPr>
                    <w:t>Tarım ve Köyişleri Bakanlığından:</w:t>
                  </w:r>
                </w:p>
                <w:p w:rsidR="00084979" w:rsidRPr="00DD5784" w:rsidRDefault="00084979" w:rsidP="00084979">
                  <w:pPr>
                    <w:tabs>
                      <w:tab w:val="left" w:pos="567"/>
                    </w:tabs>
                    <w:spacing w:after="0" w:line="240" w:lineRule="exact"/>
                    <w:jc w:val="center"/>
                    <w:rPr>
                      <w:rFonts w:ascii="Tahoma" w:eastAsia="Times New Roman" w:hAnsi="Tahoma" w:cs="Tahoma"/>
                      <w:b/>
                      <w:sz w:val="18"/>
                      <w:szCs w:val="18"/>
                    </w:rPr>
                  </w:pPr>
                  <w:r w:rsidRPr="00DD5784">
                    <w:rPr>
                      <w:rFonts w:ascii="Tahoma" w:eastAsia="Times New Roman" w:hAnsi="Tahoma" w:cs="Tahoma"/>
                      <w:b/>
                      <w:sz w:val="18"/>
                      <w:szCs w:val="18"/>
                    </w:rPr>
                    <w:t>KİMYEVİ VE ORGANİK GÜBRE PİYASA VE ŞİKAYET DENETİMİ İÇİN ALINACAK NUMUNELERİN</w:t>
                  </w:r>
                </w:p>
                <w:p w:rsidR="00084979" w:rsidRPr="00DD5784" w:rsidRDefault="00084979" w:rsidP="00084979">
                  <w:pPr>
                    <w:tabs>
                      <w:tab w:val="left" w:pos="567"/>
                    </w:tabs>
                    <w:spacing w:after="0" w:line="240" w:lineRule="exact"/>
                    <w:jc w:val="center"/>
                    <w:rPr>
                      <w:rFonts w:ascii="Tahoma" w:eastAsia="Times New Roman" w:hAnsi="Tahoma" w:cs="Tahoma"/>
                      <w:b/>
                      <w:sz w:val="18"/>
                      <w:szCs w:val="18"/>
                    </w:rPr>
                  </w:pPr>
                  <w:r w:rsidRPr="00DD5784">
                    <w:rPr>
                      <w:rFonts w:ascii="Tahoma" w:eastAsia="Times New Roman" w:hAnsi="Tahoma" w:cs="Tahoma"/>
                      <w:b/>
                      <w:sz w:val="18"/>
                      <w:szCs w:val="18"/>
                    </w:rPr>
                    <w:t>ANALİZLERİNİN YAPTIRILACAĞI ANALİZ VE REFERANS KURUM LABORATUVARLARI İLE</w:t>
                  </w:r>
                </w:p>
                <w:p w:rsidR="00084979" w:rsidRPr="00DD5784" w:rsidRDefault="00084979" w:rsidP="00084979">
                  <w:pPr>
                    <w:tabs>
                      <w:tab w:val="left" w:pos="567"/>
                    </w:tabs>
                    <w:spacing w:after="0" w:line="240" w:lineRule="exact"/>
                    <w:jc w:val="center"/>
                    <w:rPr>
                      <w:rFonts w:ascii="Tahoma" w:eastAsia="Times New Roman" w:hAnsi="Tahoma" w:cs="Tahoma"/>
                      <w:b/>
                      <w:sz w:val="18"/>
                      <w:szCs w:val="18"/>
                    </w:rPr>
                  </w:pPr>
                  <w:r w:rsidRPr="00DD5784">
                    <w:rPr>
                      <w:rFonts w:ascii="Tahoma" w:eastAsia="Times New Roman" w:hAnsi="Tahoma" w:cs="Tahoma"/>
                      <w:b/>
                      <w:sz w:val="18"/>
                      <w:szCs w:val="18"/>
                    </w:rPr>
                    <w:t>ANALİZ ÜCRETLERİ HAKKINDA TEBLİĞ</w:t>
                  </w:r>
                </w:p>
                <w:p w:rsidR="00084979" w:rsidRPr="00DD5784" w:rsidRDefault="00084979" w:rsidP="00084979">
                  <w:pPr>
                    <w:tabs>
                      <w:tab w:val="left" w:pos="567"/>
                    </w:tabs>
                    <w:spacing w:after="0" w:line="240" w:lineRule="exact"/>
                    <w:jc w:val="center"/>
                    <w:rPr>
                      <w:rFonts w:ascii="Tahoma" w:eastAsia="Times New Roman" w:hAnsi="Tahoma" w:cs="Tahoma"/>
                      <w:b/>
                      <w:sz w:val="18"/>
                      <w:szCs w:val="18"/>
                    </w:rPr>
                  </w:pPr>
                  <w:r w:rsidRPr="00DD5784">
                    <w:rPr>
                      <w:rFonts w:ascii="Tahoma" w:eastAsia="Times New Roman" w:hAnsi="Tahoma" w:cs="Tahoma"/>
                      <w:b/>
                      <w:sz w:val="18"/>
                      <w:szCs w:val="18"/>
                    </w:rPr>
                    <w:t>(TEBLİĞ NO: 2010/7)</w:t>
                  </w:r>
                </w:p>
                <w:p w:rsidR="00084979" w:rsidRPr="00DD5784" w:rsidRDefault="00084979" w:rsidP="00084979">
                  <w:pPr>
                    <w:tabs>
                      <w:tab w:val="left" w:pos="567"/>
                    </w:tabs>
                    <w:spacing w:after="0" w:line="240" w:lineRule="exact"/>
                    <w:ind w:firstLine="567"/>
                    <w:rPr>
                      <w:rFonts w:ascii="Tahoma" w:eastAsia="Times New Roman" w:hAnsi="Tahoma" w:cs="Tahoma"/>
                      <w:b/>
                      <w:sz w:val="18"/>
                      <w:szCs w:val="18"/>
                    </w:rPr>
                  </w:pPr>
                  <w:r w:rsidRPr="00DD5784">
                    <w:rPr>
                      <w:rFonts w:ascii="Tahoma" w:eastAsia="Times New Roman" w:hAnsi="Tahoma" w:cs="Tahoma"/>
                      <w:b/>
                      <w:sz w:val="18"/>
                      <w:szCs w:val="18"/>
                    </w:rPr>
                    <w:t>Kimyevi gübre analiz kuruluşları</w:t>
                  </w:r>
                </w:p>
                <w:p w:rsidR="00084979" w:rsidRPr="00DD5784" w:rsidRDefault="00084979" w:rsidP="00084979">
                  <w:pPr>
                    <w:spacing w:after="0" w:line="240" w:lineRule="exact"/>
                    <w:ind w:firstLine="567"/>
                    <w:jc w:val="both"/>
                    <w:rPr>
                      <w:rFonts w:ascii="Tahoma" w:eastAsia="Times New Roman" w:hAnsi="Tahoma" w:cs="Tahoma"/>
                      <w:b/>
                      <w:color w:val="FF0000"/>
                      <w:sz w:val="18"/>
                      <w:szCs w:val="18"/>
                      <w:u w:val="single"/>
                    </w:rPr>
                  </w:pPr>
                  <w:r w:rsidRPr="00DD5784">
                    <w:rPr>
                      <w:rFonts w:ascii="Tahoma" w:eastAsia="Times New Roman" w:hAnsi="Tahoma" w:cs="Tahoma"/>
                      <w:b/>
                      <w:sz w:val="18"/>
                      <w:szCs w:val="18"/>
                    </w:rPr>
                    <w:t>MADDE 1 —</w:t>
                  </w:r>
                  <w:r w:rsidRPr="00DD5784">
                    <w:rPr>
                      <w:rFonts w:ascii="Tahoma" w:eastAsia="Times New Roman" w:hAnsi="Tahoma" w:cs="Tahoma"/>
                      <w:sz w:val="18"/>
                      <w:szCs w:val="18"/>
                    </w:rPr>
                    <w:t xml:space="preserve"> (1) 25/4/2002 tarihli ve 24736 sayılı Resmi Gazete’ de yayımlanarak yürürlüğe giren Kimyevi Gübre Denetim Yönetmeliği gereği, piyasa ve şikayet denetimleri sırasında alınacak olan kimyevi gübre numuneleri; Ankara Üniversitesi Ziraat Fakültesi/ANKARA, Atatürk Üniversitesi Ziraat Fakültesi/Erzurum, Çukurova Üniversitesi Ziraat Fakültesi/ADANA, Ege Üniversitesi Ziraat Fakültesi/İZMİR, Harran Üniversitesi Ziraat Fakültesi/ŞANLIURFA, Namık Kemal Üniversitesi Ziraat Fakültesi/TEKİRDAĞ, Ondokuz Mayıs Üniversitesi Ziraat Fakültesi/SAMSUN, Selçuk Üniversitesi Ziraat Fakültesi/KONYA,  Çukurova Üniversitesi Fen-Edebiyat Fakültesi/ADANA, Alata Bahçe Kültürleri Araştırma Enstitüsü/MERSİN, Atatürk Bahçe Kültürleri Merkez Araştırma Enstitüsü/YALOVA, Batı Akdeniz Tarımsal Araştırma Enstitüsü/ANTALYA,  Zeytincilik Araştırma Enstitüsü/İZMİR, Bahçe Kültürleri Araştırma Enstitüsü/ERZİNCAN,  Antep Fıstığı Araştırma Enstitüsü/GAZİANTEP, Eğirdir Bahçe Kültürleri Araştırma Enstitüsü/ISPARTA, Toprak ve Gübre Araştırma Enstitüsü/ANKARA, Atatürk Toprak Su Kaynakları Araştırma Enstitüsü/KIRKLARELİ, Toprak Su Kaynakları Araştırma Enstitüsü/KONYA, Toprak Su Kaynakları Araştırma Enstitüsü/Menemen-İZMİR, Toprak Su Kaynakları Araştırma Enstitüsü/TOKAT, GAP Toprak Su Kaynakları ve Tarımsal Araştırma Enstitüsü/ŞANLIURFA, Toprak Su Kaynakları Araştırma Enstitüsü-Tarsus/MERSİN, Toprak Su Kaynakları Araştırma Enstitüsü/ESKİŞEHİR, Toprak Su Kaynakları Araştırma Enstitüsü/SAMSUN,  Manisa Valiliği Vali Ecemiş Toprak, Yaprak ve Su Analiz Laboratuarı, Türkiye Şeker Fabrikaları A.Ş./ANKARA, Tariş/İZMİR, Laben Laboratuar Endüstrisi Kimya Sanayi ve Tic. Ltd. Şti./ANTALYA, Ekmekçioğulları Metal ve Kimya Sanayi Tic. A.Ş./ÇORUM, Konya Laboratuar ve Depoculuk A.Ş/KONYA, Düzen Norwest Çevre, Gıda ve Veteriner Sağlık Hizmetleri Eğitim Danışmanlık Tic.A.Ş./ANKARA, Doktolab Tarım Araştırma San. ve Tic. A.Ş./ANTALYA, Atmosfer Gıda Turizm Tarım Laboratuar Danışmanlık Sanayi ve Tic. Ltd. Şti./ANTALYA</w:t>
                  </w:r>
                  <w:r w:rsidRPr="00DD5784">
                    <w:rPr>
                      <w:rFonts w:ascii="Tahoma" w:eastAsia="Times New Roman" w:hAnsi="Tahoma" w:cs="Tahoma"/>
                      <w:sz w:val="18"/>
                      <w:szCs w:val="18"/>
                      <w:u w:val="single"/>
                    </w:rPr>
                    <w:t xml:space="preserve">, </w:t>
                  </w:r>
                  <w:r w:rsidRPr="00DD5784">
                    <w:rPr>
                      <w:rFonts w:ascii="Tahoma" w:eastAsia="Times New Roman" w:hAnsi="Tahoma" w:cs="Tahoma"/>
                      <w:b/>
                      <w:color w:val="FF0000"/>
                      <w:sz w:val="18"/>
                      <w:szCs w:val="18"/>
                      <w:u w:val="single"/>
                    </w:rPr>
                    <w:t>Orbit Ekoloji Grup Lab. Hizm.San. Tic. A.Ş. Torbalı/İZMİR, laboratuarlarında analiz ettirilecektir.</w:t>
                  </w:r>
                </w:p>
                <w:p w:rsidR="00084979" w:rsidRPr="00DD5784" w:rsidRDefault="00084979" w:rsidP="00084979">
                  <w:pPr>
                    <w:tabs>
                      <w:tab w:val="left" w:pos="567"/>
                      <w:tab w:val="left" w:pos="5054"/>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Organik gübre analiz kuruluşları</w:t>
                  </w:r>
                </w:p>
                <w:p w:rsidR="00084979" w:rsidRPr="00DD5784" w:rsidRDefault="00084979" w:rsidP="00084979">
                  <w:pPr>
                    <w:tabs>
                      <w:tab w:val="left" w:pos="567"/>
                    </w:tabs>
                    <w:spacing w:after="0" w:line="240" w:lineRule="exact"/>
                    <w:ind w:firstLine="567"/>
                    <w:jc w:val="both"/>
                    <w:rPr>
                      <w:rFonts w:ascii="Tahoma" w:eastAsia="Times New Roman" w:hAnsi="Tahoma" w:cs="Tahoma"/>
                      <w:b/>
                      <w:color w:val="FF0000"/>
                      <w:sz w:val="18"/>
                      <w:szCs w:val="18"/>
                      <w:u w:val="single"/>
                    </w:rPr>
                  </w:pPr>
                  <w:r w:rsidRPr="00DD5784">
                    <w:rPr>
                      <w:rFonts w:ascii="Tahoma" w:eastAsia="Times New Roman" w:hAnsi="Tahoma" w:cs="Tahoma"/>
                      <w:b/>
                      <w:sz w:val="18"/>
                      <w:szCs w:val="18"/>
                    </w:rPr>
                    <w:t>MADDE 2 —</w:t>
                  </w:r>
                  <w:r w:rsidRPr="00DD5784">
                    <w:rPr>
                      <w:rFonts w:ascii="Tahoma" w:eastAsia="Times New Roman" w:hAnsi="Tahoma" w:cs="Tahoma"/>
                      <w:sz w:val="18"/>
                      <w:szCs w:val="18"/>
                    </w:rPr>
                    <w:t xml:space="preserve"> (1) 4/5/2004 tarihli ve 25452 sayılı Resmi Gazete’ de yayımlanarak yürürlüğe giren Tarımda Kullanılan Organik, Organomineral, Özel, Mikrobiyal ve Enzim İçerikli Organik Gübreler ile Toprak Düzenleyicilerin Üretimi, İthalatı, İhracatı, Piyasaya Arzı ve Denetimine Dair Yönetmelik gereği, piyasa ve şikayet denetimleri sırasında alınacak olan organik gübre numuneleri; Ankara Üniversitesi Ziraat Fakültesi/ANKARA, Atatürk Üniversitesi Ziraat Fakültesi/Erzurum, Çukurova Üniversitesi Ziraat Fakültesi/ADANA, Ege Üniversitesi Ziraat Fakültesi/İZMİR, Namık Kemal Üniversitesi Ziraat Fakültesi/TEKİRDAĞ, Ondokuz Mayıs Üniversitesi Ziraat Fakültesi/SAMSUN, Selçuk Üniversitesi Ziraat Fakültesi/KONYA, Çukurova Üniversitesi Fen-Edebiyat Fakültesi/ADANA, Toprak ve Gübre Araştırma Enstitüsü/ANKARA, Atatürk Toprak Su Kaynakları Araştırma Enstitüsü/KIRKLARELİ, Batı Akdeniz Tarımsal Araştırma Enstitüsü/ANTALYA, GAP Toprak Su Kaynakları ve Tarımsal Araştırma Enstitüsü/ŞANLIURFA, Zeytincilik Araştırma Enstitüsü/İZMİR, Manisa Valiliği Vali Ecemiş Toprak, Yaprak ve Su Analiz Laboratuarı, Türkiye Şeker Fabrikaları A.Ş./ANKARA, Tariş/İZMİR, Laben Laboratuar Endüstrisi Kimya Sanayi ve Tic. Ltd. Şti./ANTALYA, Ekmekçioğulları Metal ve Kimya Sanayi Tic. A.Ş./ÇORUM,  Konya Laboratuar ve Depoculuk A.Ş/KONYA, Düzen Norwest Çevre, Gıda ve Veteriner Sağlık Hizmetleri Eğitim Danışmanlık Tic.A.Ş./ANKARA Doktolab Tarım Araştırma San. ve Tic. A.Ş./ANTALYA, Atmosfer Gıda Turizm Tarım Laboratuar Danışmanlık Sanayi ve Tic. Ltd. Şti./ANTALYA</w:t>
                  </w:r>
                  <w:r w:rsidRPr="00DD5784">
                    <w:rPr>
                      <w:rFonts w:ascii="Tahoma" w:eastAsia="Times New Roman" w:hAnsi="Tahoma" w:cs="Tahoma"/>
                      <w:sz w:val="18"/>
                      <w:szCs w:val="18"/>
                      <w:u w:val="single"/>
                    </w:rPr>
                    <w:t xml:space="preserve">, </w:t>
                  </w:r>
                  <w:r w:rsidRPr="00DD5784">
                    <w:rPr>
                      <w:rFonts w:ascii="Tahoma" w:eastAsia="Times New Roman" w:hAnsi="Tahoma" w:cs="Tahoma"/>
                      <w:b/>
                      <w:color w:val="FF0000"/>
                      <w:sz w:val="18"/>
                      <w:szCs w:val="18"/>
                      <w:u w:val="single"/>
                    </w:rPr>
                    <w:t xml:space="preserve">Orbit Ekoloji Grup Lab. Hizm.San. Tic. A.Ş. Torbalı/İZMİR, laboratuarlarında analiz ettirilecektir. </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sz w:val="18"/>
                      <w:szCs w:val="18"/>
                    </w:rPr>
                    <w:t>(2) Piyasa ve şikâyet denetimleri sırasında alınacak kimyevi ve organik gübre numunelerinin analiz çalışmalarında uyulacak usul ve esaslar, analiz kuruluşları ile Tarımsal Üretim ve Geliştirme Genel Müdürlüğü arasında imzalanan bir protokol ile belirlenmiştir.</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Kimyevi gübre referans kuruluşlar</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t>MADDE 3 —</w:t>
                  </w:r>
                  <w:r w:rsidRPr="00DD5784">
                    <w:rPr>
                      <w:rFonts w:ascii="Tahoma" w:eastAsia="Times New Roman" w:hAnsi="Tahoma" w:cs="Tahoma"/>
                      <w:sz w:val="18"/>
                      <w:szCs w:val="18"/>
                    </w:rPr>
                    <w:t xml:space="preserve"> (1) Piyasa ve şikâyet denetimleri sırasında alınan kimyevi gübre numunelerinin analiz sonuçlarına itiraz edilmesi halinde; Türk Standartları Enstitüsü Laboratuvarları ile bu kurumdan yeterlilik belgesi almış olan Gübretaş /İZMİT Laboratuarı referans kuruluş olarak belirlenmiştir. </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Organik gübre referans kuruluşlar</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lastRenderedPageBreak/>
                    <w:t>MADDE 4 —</w:t>
                  </w:r>
                  <w:r w:rsidRPr="00DD5784">
                    <w:rPr>
                      <w:rFonts w:ascii="Tahoma" w:eastAsia="Times New Roman" w:hAnsi="Tahoma" w:cs="Tahoma"/>
                      <w:sz w:val="18"/>
                      <w:szCs w:val="18"/>
                    </w:rPr>
                    <w:t xml:space="preserve"> (1) Piyasa ve şikâyet denetimleri sırasında alınan organik gübre numunelerinin analiz sonuçlarına itiraz edilmesi halinde; 6968 Sayılı Zirai Mücadele ve Zirai Karantina Kanununa tabi hastalıklar yönünden Zirai Mücadele Merkez Araştırma Enstitüsü /ANKARA, sağlık parametreleri yönünden Refik Saydam Hıfzıssıhha Merkezi Başkanlığı /ANKARA, diğer parametreler yönünden de Türk Standartları Enstitüsü Laboratuvarları referans kuruluş olarak belirlenmiştir.</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Analiz ücretleri</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t>MADDE 5 —</w:t>
                  </w:r>
                  <w:r w:rsidRPr="00DD5784">
                    <w:rPr>
                      <w:rFonts w:ascii="Tahoma" w:eastAsia="Times New Roman" w:hAnsi="Tahoma" w:cs="Tahoma"/>
                      <w:sz w:val="18"/>
                      <w:szCs w:val="18"/>
                    </w:rPr>
                    <w:t xml:space="preserve"> (1) Piyasa ve şikâyet denetimleri esnasında alınacak kimyevi ve organik gübre numunelerinin analizi için analiz ve referans kuruluşuna ekli listede belirtilen ücretler üzerinden ödeme yapılır. Analiz ve referans kurumları belirlenen fiyatların altında fiyat talep edebilir ancak, üzerinde bir fiyat talep edemezler.</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Analiz ücretlerinin ödenmesi</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t>MADDE 6 —</w:t>
                  </w:r>
                  <w:r w:rsidRPr="00DD5784">
                    <w:rPr>
                      <w:rFonts w:ascii="Tahoma" w:eastAsia="Times New Roman" w:hAnsi="Tahoma" w:cs="Tahoma"/>
                      <w:sz w:val="18"/>
                      <w:szCs w:val="18"/>
                    </w:rPr>
                    <w:t xml:space="preserve"> (1) Deney ve referans kuruluşları tarafından, analiz ücretlerine ilişkin faturalar, numunelerin teslim tarihinde geçerli olan ücretler üzerinden ilgili Bakanlık İl Müdürlüğü adına düzenlenir. Ödemeler, düzenlenen faturaların ilgili Bakanlık İl Müdürlüğüne bir üst yazı ile teslim edilmesinden itibaren 30 gün içinde Bakanlık İl Müdürlüğü tarafından analiz ve referans kuruluşunun mevcut veya yeni açılacak hesabına havale edilir.</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Yürürlük</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t>MADDE 7 —</w:t>
                  </w:r>
                  <w:r w:rsidRPr="00DD5784">
                    <w:rPr>
                      <w:rFonts w:ascii="Tahoma" w:eastAsia="Times New Roman" w:hAnsi="Tahoma" w:cs="Tahoma"/>
                      <w:sz w:val="18"/>
                      <w:szCs w:val="18"/>
                    </w:rPr>
                    <w:t xml:space="preserve"> (1) Bu Tebliğ yayımı tarihinde yürürlüğe girer.</w:t>
                  </w:r>
                </w:p>
                <w:p w:rsidR="00084979" w:rsidRPr="00DD5784" w:rsidRDefault="00084979" w:rsidP="00084979">
                  <w:pPr>
                    <w:tabs>
                      <w:tab w:val="left" w:pos="567"/>
                    </w:tabs>
                    <w:spacing w:after="0" w:line="240" w:lineRule="exact"/>
                    <w:ind w:firstLine="567"/>
                    <w:jc w:val="both"/>
                    <w:rPr>
                      <w:rFonts w:ascii="Tahoma" w:eastAsia="Times New Roman" w:hAnsi="Tahoma" w:cs="Tahoma"/>
                      <w:b/>
                      <w:sz w:val="18"/>
                      <w:szCs w:val="18"/>
                    </w:rPr>
                  </w:pPr>
                  <w:r w:rsidRPr="00DD5784">
                    <w:rPr>
                      <w:rFonts w:ascii="Tahoma" w:eastAsia="Times New Roman" w:hAnsi="Tahoma" w:cs="Tahoma"/>
                      <w:b/>
                      <w:sz w:val="18"/>
                      <w:szCs w:val="18"/>
                    </w:rPr>
                    <w:t>Yürütme</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r w:rsidRPr="00DD5784">
                    <w:rPr>
                      <w:rFonts w:ascii="Tahoma" w:eastAsia="Times New Roman" w:hAnsi="Tahoma" w:cs="Tahoma"/>
                      <w:b/>
                      <w:sz w:val="18"/>
                      <w:szCs w:val="18"/>
                    </w:rPr>
                    <w:t>MADDE 8 —</w:t>
                  </w:r>
                  <w:r w:rsidRPr="00DD5784">
                    <w:rPr>
                      <w:rFonts w:ascii="Tahoma" w:eastAsia="Times New Roman" w:hAnsi="Tahoma" w:cs="Tahoma"/>
                      <w:sz w:val="18"/>
                      <w:szCs w:val="18"/>
                    </w:rPr>
                    <w:t xml:space="preserve"> (1) Bu Tebliğ hükümlerini Tarım ve Köyişleri Bakanı yürütür.</w:t>
                  </w:r>
                </w:p>
                <w:p w:rsidR="00084979" w:rsidRPr="00DD5784" w:rsidRDefault="00084979" w:rsidP="00084979">
                  <w:pPr>
                    <w:tabs>
                      <w:tab w:val="left" w:pos="567"/>
                    </w:tabs>
                    <w:spacing w:after="0" w:line="240" w:lineRule="exact"/>
                    <w:ind w:firstLine="567"/>
                    <w:jc w:val="both"/>
                    <w:rPr>
                      <w:rFonts w:ascii="Tahoma" w:eastAsia="Times New Roman" w:hAnsi="Tahoma" w:cs="Tahoma"/>
                      <w:sz w:val="18"/>
                      <w:szCs w:val="18"/>
                    </w:rPr>
                  </w:pPr>
                </w:p>
              </w:tc>
            </w:tr>
          </w:tbl>
          <w:p w:rsidR="00084979" w:rsidRPr="00DD5784" w:rsidRDefault="00084979" w:rsidP="00084979">
            <w:pPr>
              <w:spacing w:after="0" w:line="240" w:lineRule="auto"/>
              <w:jc w:val="center"/>
              <w:rPr>
                <w:rFonts w:ascii="Tahoma" w:eastAsia="Times New Roman" w:hAnsi="Tahoma" w:cs="Tahoma"/>
                <w:sz w:val="24"/>
                <w:szCs w:val="24"/>
              </w:rPr>
            </w:pPr>
          </w:p>
        </w:tc>
      </w:tr>
    </w:tbl>
    <w:p w:rsidR="00DE060C" w:rsidRPr="00DD5784" w:rsidRDefault="00DE060C">
      <w:pPr>
        <w:rPr>
          <w:rFonts w:ascii="Tahoma" w:hAnsi="Tahoma" w:cs="Tahoma"/>
        </w:rPr>
      </w:pPr>
    </w:p>
    <w:sectPr w:rsidR="00DE060C" w:rsidRPr="00DD5784" w:rsidSect="003200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EF" w:rsidRDefault="009923EF" w:rsidP="00084979">
      <w:pPr>
        <w:spacing w:after="0" w:line="240" w:lineRule="auto"/>
      </w:pPr>
      <w:r>
        <w:separator/>
      </w:r>
    </w:p>
  </w:endnote>
  <w:endnote w:type="continuationSeparator" w:id="0">
    <w:p w:rsidR="009923EF" w:rsidRDefault="009923EF" w:rsidP="0008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EF" w:rsidRDefault="009923EF" w:rsidP="00084979">
      <w:pPr>
        <w:spacing w:after="0" w:line="240" w:lineRule="auto"/>
      </w:pPr>
      <w:r>
        <w:separator/>
      </w:r>
    </w:p>
  </w:footnote>
  <w:footnote w:type="continuationSeparator" w:id="0">
    <w:p w:rsidR="009923EF" w:rsidRDefault="009923EF" w:rsidP="000849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84979"/>
    <w:rsid w:val="00084979"/>
    <w:rsid w:val="003200CC"/>
    <w:rsid w:val="009923EF"/>
    <w:rsid w:val="00DD5784"/>
    <w:rsid w:val="00DE06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497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849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4979"/>
  </w:style>
  <w:style w:type="paragraph" w:styleId="Altbilgi">
    <w:name w:val="footer"/>
    <w:basedOn w:val="Normal"/>
    <w:link w:val="AltbilgiChar"/>
    <w:uiPriority w:val="99"/>
    <w:semiHidden/>
    <w:unhideWhenUsed/>
    <w:rsid w:val="0008497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4979"/>
  </w:style>
</w:styles>
</file>

<file path=word/webSettings.xml><?xml version="1.0" encoding="utf-8"?>
<w:webSettings xmlns:r="http://schemas.openxmlformats.org/officeDocument/2006/relationships" xmlns:w="http://schemas.openxmlformats.org/wordprocessingml/2006/main">
  <w:divs>
    <w:div w:id="1800222292">
      <w:bodyDiv w:val="1"/>
      <w:marLeft w:val="0"/>
      <w:marRight w:val="0"/>
      <w:marTop w:val="0"/>
      <w:marBottom w:val="0"/>
      <w:divBdr>
        <w:top w:val="none" w:sz="0" w:space="0" w:color="auto"/>
        <w:left w:val="none" w:sz="0" w:space="0" w:color="auto"/>
        <w:bottom w:val="none" w:sz="0" w:space="0" w:color="auto"/>
        <w:right w:val="none" w:sz="0" w:space="0" w:color="auto"/>
      </w:divBdr>
      <w:divsChild>
        <w:div w:id="133368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hkn</cp:lastModifiedBy>
  <cp:revision>3</cp:revision>
  <dcterms:created xsi:type="dcterms:W3CDTF">2010-04-16T15:47:00Z</dcterms:created>
  <dcterms:modified xsi:type="dcterms:W3CDTF">2010-04-19T08:55:00Z</dcterms:modified>
</cp:coreProperties>
</file>